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附件2</w:t>
      </w:r>
    </w:p>
    <w:p>
      <w:pPr>
        <w:spacing w:line="360" w:lineRule="auto"/>
        <w:ind w:right="450"/>
        <w:contextualSpacing/>
        <w:jc w:val="left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受理编号：□□□□-□□□□         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  <w:t>煤炭行业企业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  <w:t>信用等级评价申报书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pacing w:val="18"/>
          <w:sz w:val="56"/>
          <w:szCs w:val="72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  <w:t>（</w:t>
      </w: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  <w:u w:val="single"/>
        </w:rPr>
        <w:t xml:space="preserve"> 20</w:t>
      </w: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  <w:u w:val="single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  <w:u w:val="single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8"/>
          <w:sz w:val="48"/>
          <w:szCs w:val="52"/>
        </w:rPr>
        <w:t>年）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480" w:lineRule="auto"/>
        <w:ind w:firstLine="880" w:firstLineChars="275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企业名称：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6"/>
        </w:rPr>
        <w:t xml:space="preserve"> </w:t>
      </w:r>
    </w:p>
    <w:p>
      <w:pPr>
        <w:spacing w:line="480" w:lineRule="auto"/>
        <w:ind w:firstLine="880" w:firstLineChars="275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申报等级：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6"/>
        </w:rPr>
        <w:t>（AAA、AA、A、B、C）</w:t>
      </w:r>
    </w:p>
    <w:p>
      <w:pPr>
        <w:spacing w:line="480" w:lineRule="auto"/>
        <w:ind w:firstLine="880" w:firstLineChars="275"/>
        <w:rPr>
          <w:rFonts w:hint="eastAsia" w:ascii="仿宋" w:hAnsi="仿宋" w:eastAsia="仿宋"/>
          <w:sz w:val="32"/>
          <w:szCs w:val="36"/>
          <w:u w:val="single"/>
        </w:rPr>
      </w:pPr>
      <w:r>
        <w:rPr>
          <w:rFonts w:hint="eastAsia" w:ascii="仿宋" w:hAnsi="仿宋" w:eastAsia="仿宋"/>
          <w:sz w:val="32"/>
          <w:szCs w:val="36"/>
        </w:rPr>
        <w:t>申报时间：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            </w:t>
      </w:r>
    </w:p>
    <w:p>
      <w:pPr>
        <w:rPr>
          <w:rFonts w:hint="eastAsia" w:ascii="仿宋_GB2312" w:eastAsia="仿宋_GB2312"/>
          <w:sz w:val="20"/>
          <w:szCs w:val="36"/>
        </w:rPr>
      </w:pPr>
    </w:p>
    <w:p>
      <w:pPr>
        <w:rPr>
          <w:rFonts w:hint="eastAsia" w:ascii="仿宋_GB2312" w:eastAsia="仿宋_GB2312"/>
          <w:sz w:val="20"/>
          <w:szCs w:val="36"/>
        </w:rPr>
      </w:pPr>
    </w:p>
    <w:p>
      <w:pPr>
        <w:jc w:val="center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中国煤炭工业协会 印制</w:t>
      </w:r>
    </w:p>
    <w:p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填写说明</w:t>
      </w:r>
    </w:p>
    <w:p>
      <w:pPr>
        <w:jc w:val="center"/>
        <w:rPr>
          <w:rFonts w:hint="eastAsia" w:ascii="黑体" w:eastAsia="黑体"/>
          <w:szCs w:val="36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一、请从国家煤炭工业网（www.coalchina.org.cn）“信用煤炭”栏目下载本申报书。</w:t>
      </w:r>
    </w:p>
    <w:p>
      <w:pPr>
        <w:spacing w:line="360" w:lineRule="auto"/>
        <w:ind w:left="1159" w:leftChars="266" w:hanging="600" w:hanging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二、申报企业填写内容及提供资料须保证真实完整无误。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三、填报办法按照文件规定执行。申报书要求用计算机填写，如表格有限，可另附页。</w:t>
      </w:r>
    </w:p>
    <w:p>
      <w:pPr>
        <w:spacing w:line="360" w:lineRule="auto"/>
        <w:ind w:left="2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四、申报表格及相关文字材料一律用A4纸张打印并装订成册，一式3份，加盖公章，其中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份按通知要求报送，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份留存企业现场评价时用。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五、表内英文部分是向上级部门备案和对外宣传要求的需要，不要空缺。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六、申报时同时发送</w:t>
      </w:r>
      <w:r>
        <w:rPr>
          <w:rFonts w:hint="eastAsia" w:ascii="仿宋" w:hAnsi="仿宋" w:eastAsia="仿宋"/>
          <w:color w:val="333333"/>
          <w:sz w:val="30"/>
          <w:szCs w:val="30"/>
        </w:rPr>
        <w:t>电子版材料，内容包括：</w:t>
      </w:r>
      <w:r>
        <w:rPr>
          <w:rFonts w:hint="eastAsia" w:ascii="仿宋" w:hAnsi="仿宋" w:eastAsia="仿宋"/>
          <w:sz w:val="30"/>
          <w:szCs w:val="30"/>
        </w:rPr>
        <w:t>企业基本信息、综合数据、企业简介，请用Word版本。</w:t>
      </w:r>
    </w:p>
    <w:p>
      <w:pPr>
        <w:spacing w:line="360" w:lineRule="auto"/>
        <w:ind w:left="1159" w:leftChars="266" w:hanging="600" w:hanging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七、中国煤炭工业协会承诺对企业所提交的材料保密。</w:t>
      </w: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spacing w:before="62" w:beforeLines="20" w:line="360" w:lineRule="auto"/>
        <w:ind w:firstLine="723" w:firstLineChars="200"/>
        <w:contextualSpacing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1、企业基本信息</w:t>
      </w:r>
    </w:p>
    <w:tbl>
      <w:tblPr>
        <w:tblStyle w:val="3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42"/>
        <w:gridCol w:w="2268"/>
        <w:gridCol w:w="2268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单位全称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经营地址及邮编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单位网址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注册资本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成立日期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法人代表身份证号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联系人部门及职务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  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编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是否上市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□是，代码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；□否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上市时间及地点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重要的关联单位</w:t>
            </w:r>
          </w:p>
        </w:tc>
        <w:tc>
          <w:tcPr>
            <w:tcW w:w="3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主要的3家业务往来银行名称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前五名重要客户名称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（以上年度销售额排名）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前五名供应商名称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（以上年度采购金额排名）</w:t>
            </w: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13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1"/>
        <w:gridCol w:w="2170"/>
        <w:gridCol w:w="2056"/>
        <w:gridCol w:w="1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2、综合数据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项  目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上年度年末数值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当前数值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资产总额</w:t>
            </w:r>
            <w:r>
              <w:rPr>
                <w:rFonts w:hint="eastAsia" w:ascii="仿宋" w:hAnsi="仿宋" w:eastAsia="仿宋"/>
                <w:sz w:val="18"/>
                <w:szCs w:val="24"/>
              </w:rPr>
              <w:t>（万元）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净资产</w:t>
            </w:r>
            <w:r>
              <w:rPr>
                <w:rFonts w:hint="eastAsia" w:ascii="仿宋" w:hAnsi="仿宋" w:eastAsia="仿宋"/>
                <w:sz w:val="18"/>
                <w:szCs w:val="24"/>
              </w:rPr>
              <w:t>（万元）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营业收入</w:t>
            </w:r>
            <w:r>
              <w:rPr>
                <w:rFonts w:hint="eastAsia" w:ascii="仿宋" w:hAnsi="仿宋" w:eastAsia="仿宋"/>
                <w:sz w:val="18"/>
                <w:szCs w:val="24"/>
              </w:rPr>
              <w:t>（万元）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到期贷款偿还率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中高级职称管技人员占在岗职工总数的比例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中高级技术工人占在岗自有工人总数的比例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质量管理、环境管理和职业健康体系认证情况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科技投入比例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采购合同履约率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销售合同履约率/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项目合同履约率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206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资质状况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24"/>
              </w:rPr>
              <w:t>（建设、勘查类企业填写）</w:t>
            </w:r>
          </w:p>
        </w:tc>
        <w:tc>
          <w:tcPr>
            <w:tcW w:w="3185" w:type="pct"/>
            <w:gridSpan w:val="3"/>
            <w:noWrap w:val="0"/>
            <w:vAlign w:val="top"/>
          </w:tcPr>
          <w:p>
            <w:pPr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安全状况</w:t>
            </w:r>
          </w:p>
        </w:tc>
        <w:tc>
          <w:tcPr>
            <w:tcW w:w="3185" w:type="pct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（简要描述企业在生产经营过程中发生的事故情况，以数据说话，如百万吨死亡率、千万元产值重伤率、千人轻伤率等。）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生产经营情况</w:t>
            </w:r>
          </w:p>
        </w:tc>
        <w:tc>
          <w:tcPr>
            <w:tcW w:w="3185" w:type="pct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（简要描述企业在生产经营情况，以数据说话，如产量、销量、产值、人员效率、人均产值等。）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8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</w:tc>
        <w:tc>
          <w:tcPr>
            <w:tcW w:w="3185" w:type="pct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（包括基本情况、诚信经营、质量控制、用户服务和未来发展等。800字内。）</w:t>
            </w:r>
          </w:p>
        </w:tc>
      </w:tr>
    </w:tbl>
    <w:p>
      <w:pPr>
        <w:jc w:val="center"/>
        <w:rPr>
          <w:rFonts w:hint="eastAsia" w:ascii="黑体" w:eastAsia="黑体"/>
          <w:b/>
          <w:sz w:val="18"/>
          <w:szCs w:val="36"/>
        </w:rPr>
      </w:pPr>
    </w:p>
    <w:p>
      <w:pPr>
        <w:jc w:val="center"/>
        <w:rPr>
          <w:rFonts w:hint="eastAsia" w:ascii="黑体" w:eastAsia="黑体"/>
          <w:b/>
          <w:szCs w:val="36"/>
        </w:rPr>
      </w:pPr>
      <w:r>
        <w:rPr>
          <w:rFonts w:ascii="黑体" w:eastAsia="黑体"/>
          <w:b/>
          <w:sz w:val="24"/>
          <w:szCs w:val="36"/>
        </w:rPr>
        <w:br w:type="page"/>
      </w:r>
    </w:p>
    <w:p>
      <w:pPr>
        <w:spacing w:after="312" w:after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3、其他材料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1、经过年检的营业执照（副本）复印件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、上年度工作总结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/>
          <w:sz w:val="30"/>
          <w:szCs w:val="30"/>
        </w:rPr>
        <w:t>领导班子成员简历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、企业人力资源状况分类统计表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、企业组织结构图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、最近三年的审计报告，仅包括资产负债表、损益表、现金流量表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复印件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、最近三年企业取得的荣誉证书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复印件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/>
          <w:sz w:val="30"/>
          <w:szCs w:val="30"/>
        </w:rPr>
        <w:t>质量、环境、职业健康安全体系认证的证书复印件。</w:t>
      </w:r>
    </w:p>
    <w:p>
      <w:pPr>
        <w:adjustRightInd w:val="0"/>
        <w:snapToGrid w:val="0"/>
        <w:spacing w:line="360" w:lineRule="auto"/>
        <w:ind w:firstLine="600" w:firstLineChars="200"/>
        <w:rPr>
          <w:rStyle w:val="5"/>
          <w:rFonts w:hint="eastAsia" w:ascii="仿宋" w:hAnsi="仿宋" w:eastAsia="仿宋"/>
          <w:b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Style w:val="5"/>
          <w:rFonts w:hint="eastAsia" w:ascii="仿宋" w:hAnsi="仿宋" w:eastAsia="仿宋"/>
          <w:b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Style w:val="5"/>
          <w:rFonts w:hint="eastAsia" w:ascii="仿宋" w:hAnsi="仿宋" w:eastAsia="仿宋"/>
          <w:b w:val="0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1、以上材料仅为申报时用，现场评价时所用材料请</w:t>
      </w:r>
      <w:r>
        <w:rPr>
          <w:rFonts w:hint="eastAsia" w:ascii="仿宋" w:hAnsi="仿宋" w:eastAsia="仿宋"/>
          <w:sz w:val="30"/>
          <w:szCs w:val="30"/>
        </w:rPr>
        <w:t>参考信用评价指标进行准备。（评价指标请从国家煤炭工业网（www.coalchina.org.cn）“信用煤炭”栏目下载）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2、企业成立</w:t>
      </w:r>
      <w:r>
        <w:rPr>
          <w:rFonts w:hint="eastAsia" w:ascii="仿宋" w:hAnsi="仿宋" w:eastAsia="仿宋"/>
          <w:sz w:val="30"/>
          <w:szCs w:val="30"/>
        </w:rPr>
        <w:t>不足3年的，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需</w:t>
      </w:r>
      <w:r>
        <w:rPr>
          <w:rFonts w:hint="eastAsia" w:ascii="仿宋" w:hAnsi="仿宋" w:eastAsia="仿宋"/>
          <w:sz w:val="30"/>
          <w:szCs w:val="30"/>
        </w:rPr>
        <w:t>提供成立以来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相关资料。</w:t>
      </w:r>
    </w:p>
    <w:p>
      <w:pPr>
        <w:jc w:val="center"/>
        <w:rPr>
          <w:rFonts w:hint="eastAsia" w:ascii="黑体" w:eastAsia="黑体"/>
          <w:b/>
          <w:szCs w:val="36"/>
        </w:rPr>
      </w:pPr>
      <w:r>
        <w:rPr>
          <w:rFonts w:ascii="黑体" w:eastAsia="黑体"/>
          <w:b/>
          <w:sz w:val="32"/>
          <w:szCs w:val="36"/>
        </w:rPr>
        <w:br w:type="page"/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4、承诺书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spacing w:line="460" w:lineRule="exact"/>
        <w:ind w:firstLine="574"/>
        <w:rPr>
          <w:rFonts w:ascii="仿宋_GB2312" w:hAnsi="宋体" w:eastAsia="仿宋_GB2312"/>
          <w:sz w:val="28"/>
          <w:szCs w:val="28"/>
        </w:rPr>
      </w:pPr>
    </w:p>
    <w:p>
      <w:pPr>
        <w:spacing w:line="360" w:lineRule="auto"/>
        <w:ind w:firstLine="574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57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本单位承诺，在申请煤炭企业信用等级评价中所提交的证明材料、数据和资料全部真实、合法、有效，复印件与原件内容相一致，并对因材料虚假所引发的一切后果负法律责任。</w:t>
      </w:r>
    </w:p>
    <w:p>
      <w:pPr>
        <w:spacing w:line="360" w:lineRule="auto"/>
        <w:ind w:firstLine="396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396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单位签章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法定代表人签字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spacing w:line="500" w:lineRule="atLeast"/>
        <w:ind w:firstLine="472" w:firstLineChars="225"/>
        <w:rPr>
          <w:rFonts w:hint="eastAsia" w:ascii="仿宋_GB2312" w:eastAsia="仿宋_GB2312"/>
          <w:szCs w:val="24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auto"/>
        <w:ind w:right="450"/>
        <w:contextualSpacing/>
        <w:jc w:val="lef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F37C6"/>
    <w:rsid w:val="2BAF3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2019-12-26T03:39:00Z</dcterms:created>
  <dc:creator>zch0808</dc:creator>
  <cp:lastModifiedBy>zch0808</cp:lastModifiedBy>
  <dcterms:modified xsi:type="dcterms:W3CDTF">2019-12-26T03:43:23Z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